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7373920">
      <w:pPr>
        <w:jc w:val="center"/>
        <w:rPr>
          <w:b/>
          <w:color w:val="000000"/>
          <w:kern w:val="0"/>
          <w:sz w:val="24"/>
        </w:rPr>
      </w:pPr>
      <w:bookmarkStart w:id="0" w:name="_GoBack"/>
      <w:r>
        <w:rPr>
          <w:rFonts w:hint="eastAsia"/>
          <w:b/>
          <w:color w:val="000000"/>
          <w:kern w:val="0"/>
          <w:sz w:val="24"/>
          <w:lang w:eastAsia="zh-CN"/>
        </w:rPr>
        <w:t>江西晶昊盐化有限公司年产5.5万吨高强硫酸钙综合利用工程项目</w:t>
      </w:r>
      <w:r>
        <w:rPr>
          <w:rFonts w:hint="eastAsia"/>
          <w:b/>
          <w:color w:val="000000"/>
          <w:kern w:val="0"/>
          <w:sz w:val="24"/>
        </w:rPr>
        <w:t>职业病危害预评价报告公示</w:t>
      </w:r>
    </w:p>
    <w:bookmarkEnd w:id="0"/>
    <w:tbl>
      <w:tblPr>
        <w:tblStyle w:val="6"/>
        <w:tblW w:w="9180" w:type="dxa"/>
        <w:tblInd w:w="-25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40"/>
        <w:gridCol w:w="2340"/>
        <w:gridCol w:w="180"/>
        <w:gridCol w:w="523"/>
        <w:gridCol w:w="2357"/>
        <w:gridCol w:w="388"/>
        <w:gridCol w:w="872"/>
        <w:gridCol w:w="133"/>
        <w:gridCol w:w="947"/>
      </w:tblGrid>
      <w:tr w14:paraId="4740E9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2" w:hRule="atLeast"/>
        </w:trPr>
        <w:tc>
          <w:tcPr>
            <w:tcW w:w="1440" w:type="dxa"/>
            <w:tcBorders>
              <w:top w:val="single" w:color="auto" w:sz="4" w:space="0"/>
              <w:left w:val="single" w:color="auto" w:sz="4" w:space="0"/>
              <w:bottom w:val="single" w:color="auto" w:sz="4" w:space="0"/>
              <w:right w:val="single" w:color="auto" w:sz="4" w:space="0"/>
            </w:tcBorders>
            <w:vAlign w:val="center"/>
          </w:tcPr>
          <w:p w14:paraId="15D44014">
            <w:pPr>
              <w:jc w:val="center"/>
              <w:rPr>
                <w:b/>
                <w:color w:val="000000"/>
                <w:kern w:val="0"/>
                <w:sz w:val="24"/>
              </w:rPr>
            </w:pPr>
            <w:r>
              <w:rPr>
                <w:rFonts w:hint="eastAsia"/>
                <w:b/>
                <w:color w:val="000000"/>
                <w:kern w:val="0"/>
                <w:sz w:val="24"/>
              </w:rPr>
              <w:t>项目名称</w:t>
            </w:r>
          </w:p>
        </w:tc>
        <w:tc>
          <w:tcPr>
            <w:tcW w:w="7740" w:type="dxa"/>
            <w:gridSpan w:val="8"/>
            <w:tcBorders>
              <w:top w:val="single" w:color="auto" w:sz="4" w:space="0"/>
              <w:left w:val="single" w:color="auto" w:sz="4" w:space="0"/>
              <w:bottom w:val="single" w:color="auto" w:sz="4" w:space="0"/>
              <w:right w:val="single" w:color="auto" w:sz="4" w:space="0"/>
            </w:tcBorders>
            <w:vAlign w:val="center"/>
          </w:tcPr>
          <w:p w14:paraId="21741EB7">
            <w:pPr>
              <w:jc w:val="center"/>
              <w:rPr>
                <w:rFonts w:ascii="宋体" w:hAnsi="宋体"/>
                <w:sz w:val="24"/>
              </w:rPr>
            </w:pPr>
            <w:r>
              <w:rPr>
                <w:rFonts w:hint="eastAsia" w:ascii="宋体" w:hAnsi="宋体"/>
                <w:sz w:val="24"/>
                <w:lang w:eastAsia="zh-CN"/>
              </w:rPr>
              <w:t>江西晶昊盐化有限公司年产5.5万吨高强硫酸钙综合利用工程项目</w:t>
            </w:r>
            <w:r>
              <w:rPr>
                <w:rFonts w:hint="eastAsia" w:ascii="宋体" w:hAnsi="宋体"/>
                <w:sz w:val="24"/>
              </w:rPr>
              <w:t>职业病危害预评价报告</w:t>
            </w:r>
          </w:p>
        </w:tc>
      </w:tr>
      <w:tr w14:paraId="739C9B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trPr>
        <w:tc>
          <w:tcPr>
            <w:tcW w:w="1440" w:type="dxa"/>
            <w:tcBorders>
              <w:top w:val="single" w:color="auto" w:sz="4" w:space="0"/>
              <w:left w:val="single" w:color="auto" w:sz="4" w:space="0"/>
              <w:bottom w:val="single" w:color="auto" w:sz="4" w:space="0"/>
              <w:right w:val="single" w:color="auto" w:sz="4" w:space="0"/>
            </w:tcBorders>
            <w:vAlign w:val="center"/>
          </w:tcPr>
          <w:p w14:paraId="749A4209">
            <w:pPr>
              <w:jc w:val="center"/>
              <w:rPr>
                <w:b/>
                <w:color w:val="000000"/>
                <w:kern w:val="0"/>
                <w:sz w:val="24"/>
              </w:rPr>
            </w:pPr>
            <w:r>
              <w:rPr>
                <w:rFonts w:hint="eastAsia"/>
                <w:b/>
                <w:color w:val="000000"/>
                <w:kern w:val="0"/>
                <w:sz w:val="24"/>
              </w:rPr>
              <w:t>报告书编号</w:t>
            </w:r>
          </w:p>
        </w:tc>
        <w:tc>
          <w:tcPr>
            <w:tcW w:w="7740" w:type="dxa"/>
            <w:gridSpan w:val="8"/>
            <w:tcBorders>
              <w:top w:val="single" w:color="auto" w:sz="4" w:space="0"/>
              <w:left w:val="single" w:color="auto" w:sz="4" w:space="0"/>
              <w:bottom w:val="single" w:color="auto" w:sz="4" w:space="0"/>
              <w:right w:val="single" w:color="auto" w:sz="4" w:space="0"/>
            </w:tcBorders>
            <w:vAlign w:val="center"/>
          </w:tcPr>
          <w:p w14:paraId="4D28A036">
            <w:pPr>
              <w:jc w:val="left"/>
              <w:rPr>
                <w:rFonts w:hint="eastAsia" w:ascii="宋体" w:hAnsi="宋体" w:eastAsia="宋体"/>
                <w:sz w:val="24"/>
                <w:lang w:eastAsia="zh-CN"/>
              </w:rPr>
            </w:pPr>
            <w:r>
              <w:rPr>
                <w:rFonts w:hint="eastAsia" w:ascii="宋体" w:hAnsi="宋体"/>
                <w:sz w:val="24"/>
                <w:lang w:eastAsia="zh-CN"/>
              </w:rPr>
              <w:t>ZPYKJ24-021</w:t>
            </w:r>
          </w:p>
        </w:tc>
      </w:tr>
      <w:tr w14:paraId="167990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40" w:type="dxa"/>
            <w:tcBorders>
              <w:top w:val="single" w:color="auto" w:sz="4" w:space="0"/>
              <w:left w:val="single" w:color="auto" w:sz="4" w:space="0"/>
              <w:bottom w:val="single" w:color="auto" w:sz="4" w:space="0"/>
              <w:right w:val="single" w:color="auto" w:sz="4" w:space="0"/>
            </w:tcBorders>
            <w:vAlign w:val="center"/>
          </w:tcPr>
          <w:p w14:paraId="01CD8FD4">
            <w:pPr>
              <w:jc w:val="center"/>
              <w:rPr>
                <w:b/>
                <w:color w:val="000000"/>
                <w:kern w:val="0"/>
                <w:sz w:val="24"/>
              </w:rPr>
            </w:pPr>
            <w:r>
              <w:rPr>
                <w:rFonts w:hint="eastAsia"/>
                <w:b/>
                <w:color w:val="000000"/>
                <w:kern w:val="0"/>
                <w:sz w:val="24"/>
              </w:rPr>
              <w:t>建设单位</w:t>
            </w:r>
          </w:p>
        </w:tc>
        <w:tc>
          <w:tcPr>
            <w:tcW w:w="2340" w:type="dxa"/>
            <w:tcBorders>
              <w:top w:val="single" w:color="auto" w:sz="4" w:space="0"/>
              <w:left w:val="single" w:color="auto" w:sz="4" w:space="0"/>
              <w:bottom w:val="single" w:color="auto" w:sz="4" w:space="0"/>
              <w:right w:val="single" w:color="auto" w:sz="4" w:space="0"/>
            </w:tcBorders>
            <w:vAlign w:val="center"/>
          </w:tcPr>
          <w:p w14:paraId="6699754F">
            <w:pPr>
              <w:jc w:val="left"/>
              <w:rPr>
                <w:rFonts w:hint="eastAsia" w:ascii="宋体" w:hAnsi="宋体" w:eastAsia="宋体"/>
                <w:sz w:val="24"/>
                <w:lang w:eastAsia="zh-CN"/>
              </w:rPr>
            </w:pPr>
            <w:r>
              <w:rPr>
                <w:rFonts w:hint="eastAsia" w:ascii="宋体" w:hAnsi="宋体"/>
                <w:sz w:val="24"/>
                <w:lang w:eastAsia="zh-CN"/>
              </w:rPr>
              <w:t>江西晶昊盐化有限公司</w:t>
            </w:r>
          </w:p>
        </w:tc>
        <w:tc>
          <w:tcPr>
            <w:tcW w:w="703" w:type="dxa"/>
            <w:gridSpan w:val="2"/>
            <w:tcBorders>
              <w:top w:val="single" w:color="auto" w:sz="4" w:space="0"/>
              <w:left w:val="single" w:color="auto" w:sz="4" w:space="0"/>
              <w:bottom w:val="single" w:color="auto" w:sz="4" w:space="0"/>
              <w:right w:val="single" w:color="auto" w:sz="4" w:space="0"/>
            </w:tcBorders>
            <w:vAlign w:val="center"/>
          </w:tcPr>
          <w:p w14:paraId="0C75A25F">
            <w:pPr>
              <w:jc w:val="left"/>
              <w:rPr>
                <w:rFonts w:ascii="宋体" w:hAnsi="宋体"/>
                <w:sz w:val="24"/>
              </w:rPr>
            </w:pPr>
            <w:r>
              <w:rPr>
                <w:rFonts w:hint="eastAsia" w:ascii="宋体" w:hAnsi="宋体"/>
                <w:sz w:val="24"/>
              </w:rPr>
              <w:t>地理位置</w:t>
            </w:r>
          </w:p>
        </w:tc>
        <w:tc>
          <w:tcPr>
            <w:tcW w:w="2745" w:type="dxa"/>
            <w:gridSpan w:val="2"/>
            <w:tcBorders>
              <w:top w:val="single" w:color="auto" w:sz="4" w:space="0"/>
              <w:left w:val="single" w:color="auto" w:sz="4" w:space="0"/>
              <w:bottom w:val="single" w:color="auto" w:sz="4" w:space="0"/>
              <w:right w:val="single" w:color="auto" w:sz="4" w:space="0"/>
            </w:tcBorders>
            <w:vAlign w:val="center"/>
          </w:tcPr>
          <w:p w14:paraId="24A15970">
            <w:pPr>
              <w:jc w:val="left"/>
              <w:rPr>
                <w:rFonts w:ascii="宋体" w:hAnsi="宋体"/>
                <w:sz w:val="24"/>
              </w:rPr>
            </w:pPr>
            <w:r>
              <w:rPr>
                <w:rFonts w:hint="eastAsia" w:ascii="宋体" w:hAnsi="宋体"/>
                <w:sz w:val="24"/>
                <w:lang w:eastAsia="zh-CN"/>
              </w:rPr>
              <w:t>江西省宜春市樟树市盐化基地武夷路</w:t>
            </w:r>
          </w:p>
        </w:tc>
        <w:tc>
          <w:tcPr>
            <w:tcW w:w="1005" w:type="dxa"/>
            <w:gridSpan w:val="2"/>
            <w:tcBorders>
              <w:top w:val="single" w:color="auto" w:sz="4" w:space="0"/>
              <w:left w:val="single" w:color="auto" w:sz="4" w:space="0"/>
              <w:bottom w:val="single" w:color="auto" w:sz="4" w:space="0"/>
              <w:right w:val="single" w:color="auto" w:sz="4" w:space="0"/>
            </w:tcBorders>
            <w:vAlign w:val="center"/>
          </w:tcPr>
          <w:p w14:paraId="1545C824">
            <w:pPr>
              <w:jc w:val="left"/>
              <w:rPr>
                <w:rFonts w:ascii="宋体" w:hAnsi="宋体"/>
                <w:sz w:val="24"/>
              </w:rPr>
            </w:pPr>
            <w:r>
              <w:rPr>
                <w:rFonts w:hint="eastAsia" w:ascii="宋体" w:hAnsi="宋体"/>
                <w:sz w:val="24"/>
              </w:rPr>
              <w:t>联系人</w:t>
            </w:r>
          </w:p>
        </w:tc>
        <w:tc>
          <w:tcPr>
            <w:tcW w:w="947" w:type="dxa"/>
            <w:tcBorders>
              <w:top w:val="single" w:color="auto" w:sz="4" w:space="0"/>
              <w:left w:val="single" w:color="auto" w:sz="4" w:space="0"/>
              <w:bottom w:val="single" w:color="auto" w:sz="4" w:space="0"/>
              <w:right w:val="single" w:color="auto" w:sz="4" w:space="0"/>
            </w:tcBorders>
            <w:vAlign w:val="center"/>
          </w:tcPr>
          <w:p w14:paraId="16DDA2D2">
            <w:pPr>
              <w:jc w:val="left"/>
              <w:rPr>
                <w:rFonts w:hint="eastAsia" w:ascii="宋体" w:hAnsi="宋体" w:eastAsia="宋体"/>
                <w:sz w:val="24"/>
                <w:lang w:eastAsia="zh-CN"/>
              </w:rPr>
            </w:pPr>
            <w:r>
              <w:rPr>
                <w:rFonts w:hint="eastAsia" w:ascii="宋体" w:hAnsi="宋体"/>
                <w:sz w:val="24"/>
                <w:lang w:eastAsia="zh-CN"/>
              </w:rPr>
              <w:t>邓坤</w:t>
            </w:r>
          </w:p>
        </w:tc>
      </w:tr>
      <w:tr w14:paraId="6FC15F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20" w:hRule="atLeast"/>
        </w:trPr>
        <w:tc>
          <w:tcPr>
            <w:tcW w:w="1440" w:type="dxa"/>
            <w:tcBorders>
              <w:top w:val="single" w:color="auto" w:sz="4" w:space="0"/>
              <w:left w:val="single" w:color="auto" w:sz="4" w:space="0"/>
              <w:bottom w:val="single" w:color="auto" w:sz="4" w:space="0"/>
              <w:right w:val="single" w:color="auto" w:sz="4" w:space="0"/>
            </w:tcBorders>
            <w:vAlign w:val="center"/>
          </w:tcPr>
          <w:p w14:paraId="3138887D">
            <w:pPr>
              <w:jc w:val="center"/>
              <w:rPr>
                <w:color w:val="000000"/>
                <w:kern w:val="0"/>
                <w:sz w:val="24"/>
              </w:rPr>
            </w:pPr>
            <w:r>
              <w:rPr>
                <w:rFonts w:hint="eastAsia"/>
                <w:b/>
                <w:kern w:val="0"/>
                <w:sz w:val="24"/>
              </w:rPr>
              <w:t>项目简介</w:t>
            </w:r>
          </w:p>
        </w:tc>
        <w:tc>
          <w:tcPr>
            <w:tcW w:w="7740" w:type="dxa"/>
            <w:gridSpan w:val="8"/>
            <w:tcBorders>
              <w:top w:val="single" w:color="auto" w:sz="4" w:space="0"/>
              <w:left w:val="single" w:color="auto" w:sz="4" w:space="0"/>
              <w:bottom w:val="single" w:color="auto" w:sz="4" w:space="0"/>
              <w:right w:val="single" w:color="auto" w:sz="4" w:space="0"/>
            </w:tcBorders>
            <w:vAlign w:val="center"/>
          </w:tcPr>
          <w:p w14:paraId="33869E06">
            <w:pPr>
              <w:widowControl/>
              <w:tabs>
                <w:tab w:val="left" w:pos="0"/>
              </w:tabs>
              <w:adjustRightInd w:val="0"/>
              <w:snapToGrid w:val="0"/>
              <w:spacing w:line="490" w:lineRule="exact"/>
              <w:ind w:firstLine="480" w:firstLineChars="200"/>
              <w:rPr>
                <w:rFonts w:hint="eastAsia" w:ascii="宋体" w:hAnsi="宋体"/>
                <w:sz w:val="24"/>
                <w:lang w:eastAsia="zh-CN"/>
              </w:rPr>
            </w:pPr>
            <w:r>
              <w:rPr>
                <w:rFonts w:hint="eastAsia" w:ascii="宋体" w:hAnsi="宋体"/>
                <w:sz w:val="24"/>
                <w:lang w:eastAsia="zh-CN"/>
              </w:rPr>
              <w:t>江西晶昊盐化有限公司的前身为江西盐矿。1970年6月8日，在清江县（现樟树市）普查勘探清江盆地石油资源过程中找到盐矿。为开发利用丰富的矿盐资源，同年10月开始建矿，定名为江西省六八盐矿，1971年改为江西盐矿。2001年1月江西盐矿以债转股的形式改制为江西盐矿有限责任公司；2009年11月经过国有企业改制增资扩股，更名为江西晶昊盐化有限公司；2016年，原江西省盐业集团公司控股子公司江西富达盐化有限公司划转为江西晶昊盐化有限公司全资子公司。公司地址为江西省宜春市樟树市盐化基地武夷路，统一信用代码为91360982723906690U，法人代表雷和波，注册资本为70928.659357万人民币，企业的经营范围为：许可项目：食盐生产，食盐批发，食品经营，食品互联网销售，食品进出口，货物进出口，食品添加剂生产，调味品生产，饲料添加剂生产，发电、输电、供电业务，矿产资源（非煤矿山）开采，包装装潢印刷品印刷，道路货物运输（不含危险货物）（依法须经批准的项目，经相关部门批准后方可开展经营活动）；一般项目：非食用盐加工，非食用盐销售，离子交换树脂还原剂（软水盐）、晶体盐、工业盐、肠衣盐、工业无水硫酸钠、超微细化碳酸钙、海水晶、脱硫废渣（二水硫酸钙）、液体盐、碳酸氢钠、纯碱、食用碱、氯化钙的生产及销售；食品添加剂销售，饲料添加剂销售，热力生产和供应，塑料制品制造，塑料制品销售，石灰和硫酸钙制造，石灰和硫酸钙销售，煤炭及制品销售，石油制品制造（不含危险化学品），金属材料销售，建筑材料销售，隔热和隔音材料制造，隔热和隔音材料销售，再生资源销售，普通机械设备安装服务，招投标代理服务（除许可业务外，可自主依法经营法律法规非禁止或限制的项目）。公司现有制盐装置年产能215万吨；公司采用具有国际先进水平的“井下循环盐碱钙联产制碱工艺”，纯碱生产能力60万吨/年，员工1189名（以上均不含子公司江西富达盐化有限公司）。</w:t>
            </w:r>
          </w:p>
          <w:p w14:paraId="2E6D353E">
            <w:pPr>
              <w:widowControl/>
              <w:tabs>
                <w:tab w:val="left" w:pos="0"/>
              </w:tabs>
              <w:adjustRightInd w:val="0"/>
              <w:snapToGrid w:val="0"/>
              <w:spacing w:line="490" w:lineRule="exact"/>
              <w:ind w:firstLine="480" w:firstLineChars="200"/>
              <w:rPr>
                <w:rFonts w:hint="eastAsia" w:ascii="宋体" w:hAnsi="宋体"/>
                <w:sz w:val="24"/>
                <w:lang w:eastAsia="zh-CN"/>
              </w:rPr>
            </w:pPr>
            <w:r>
              <w:rPr>
                <w:rFonts w:hint="eastAsia" w:ascii="宋体" w:hAnsi="宋体"/>
                <w:sz w:val="24"/>
                <w:lang w:eastAsia="zh-CN"/>
              </w:rPr>
              <w:t>本项目于2020年09月07日取得了樟树市工业和信息化局下发的《江西省工业企业技术改造项目备案通知书》（项目统一代码为：2020-360982-41-03-037126）。</w:t>
            </w:r>
          </w:p>
          <w:p w14:paraId="4A2FB397">
            <w:pPr>
              <w:widowControl/>
              <w:tabs>
                <w:tab w:val="left" w:pos="0"/>
              </w:tabs>
              <w:adjustRightInd w:val="0"/>
              <w:snapToGrid w:val="0"/>
              <w:spacing w:line="490" w:lineRule="exact"/>
              <w:ind w:firstLine="480" w:firstLineChars="200"/>
              <w:rPr>
                <w:rFonts w:hint="eastAsia" w:ascii="宋体" w:hAnsi="宋体"/>
                <w:sz w:val="24"/>
                <w:lang w:eastAsia="zh-CN"/>
              </w:rPr>
            </w:pPr>
            <w:r>
              <w:rPr>
                <w:rFonts w:hint="eastAsia" w:ascii="宋体" w:hAnsi="宋体"/>
                <w:sz w:val="24"/>
                <w:lang w:eastAsia="zh-CN"/>
              </w:rPr>
              <w:t>根据企业委托本次评价主要针对一期项目年产5万吨α-半水硫酸钙进行评价。一期项目拟建新增二水硫酸钙合成系统设备一套（反应桶、澄清桶等9个桶、11个输送泵等其他配套设备）、a-半水硫酸钙生产系统一套（转晶釜6个、缓冲釜2个，离心机6个、包装机2套等其他设备）。</w:t>
            </w:r>
          </w:p>
          <w:p w14:paraId="7EBE30DC">
            <w:pPr>
              <w:widowControl/>
              <w:tabs>
                <w:tab w:val="left" w:pos="0"/>
              </w:tabs>
              <w:adjustRightInd w:val="0"/>
              <w:snapToGrid w:val="0"/>
              <w:spacing w:line="490" w:lineRule="exact"/>
              <w:ind w:firstLine="480" w:firstLineChars="200"/>
              <w:rPr>
                <w:rFonts w:ascii="宋体" w:hAnsi="宋体"/>
                <w:sz w:val="24"/>
              </w:rPr>
            </w:pPr>
            <w:r>
              <w:rPr>
                <w:rFonts w:hint="eastAsia" w:ascii="宋体" w:hAnsi="宋体"/>
                <w:sz w:val="24"/>
                <w:lang w:eastAsia="zh-CN"/>
              </w:rPr>
              <w:t>根据《建设项目职业病防护设施“三同时”监督管理办法》的相关要求，2024年3月江西晶昊盐化有限公司委托江西省矿检安全科技有限公司（以下简称“我公司”）对江西晶昊盐化有限公司年产5.5万吨高强硫酸钙综合利用工程项目（一期）进行职业病危害预评价，并编写《江西晶昊盐化有限公司年产5.5万吨高强硫酸钙综合利用工程项目职业病危害预评价报告》</w:t>
            </w:r>
            <w:r>
              <w:rPr>
                <w:rFonts w:hint="eastAsia" w:ascii="宋体" w:hAnsi="宋体"/>
                <w:sz w:val="24"/>
              </w:rPr>
              <w:t>。</w:t>
            </w:r>
          </w:p>
        </w:tc>
      </w:tr>
      <w:tr w14:paraId="1F1C37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5" w:hRule="atLeast"/>
        </w:trPr>
        <w:tc>
          <w:tcPr>
            <w:tcW w:w="1440" w:type="dxa"/>
            <w:tcBorders>
              <w:top w:val="single" w:color="auto" w:sz="4" w:space="0"/>
              <w:left w:val="single" w:color="auto" w:sz="4" w:space="0"/>
              <w:bottom w:val="single" w:color="auto" w:sz="4" w:space="0"/>
              <w:right w:val="single" w:color="auto" w:sz="4" w:space="0"/>
            </w:tcBorders>
            <w:vAlign w:val="center"/>
          </w:tcPr>
          <w:p w14:paraId="1795782E">
            <w:pPr>
              <w:jc w:val="center"/>
              <w:rPr>
                <w:b/>
                <w:color w:val="000000"/>
                <w:kern w:val="0"/>
                <w:sz w:val="24"/>
              </w:rPr>
            </w:pPr>
            <w:r>
              <w:rPr>
                <w:rFonts w:hint="eastAsia"/>
                <w:b/>
                <w:kern w:val="0"/>
                <w:sz w:val="24"/>
              </w:rPr>
              <w:t>现场调查人员</w:t>
            </w:r>
          </w:p>
        </w:tc>
        <w:tc>
          <w:tcPr>
            <w:tcW w:w="2520" w:type="dxa"/>
            <w:gridSpan w:val="2"/>
            <w:tcBorders>
              <w:top w:val="single" w:color="auto" w:sz="4" w:space="0"/>
              <w:left w:val="single" w:color="auto" w:sz="4" w:space="0"/>
              <w:bottom w:val="single" w:color="auto" w:sz="4" w:space="0"/>
              <w:right w:val="single" w:color="auto" w:sz="4" w:space="0"/>
            </w:tcBorders>
            <w:vAlign w:val="center"/>
          </w:tcPr>
          <w:p w14:paraId="12455B51">
            <w:pPr>
              <w:jc w:val="center"/>
              <w:rPr>
                <w:rFonts w:hint="eastAsia" w:ascii="宋体" w:hAnsi="宋体" w:eastAsia="宋体"/>
                <w:sz w:val="24"/>
                <w:lang w:eastAsia="zh-CN"/>
              </w:rPr>
            </w:pPr>
            <w:r>
              <w:rPr>
                <w:rFonts w:hint="eastAsia" w:ascii="宋体" w:hAnsi="宋体"/>
                <w:sz w:val="24"/>
                <w:lang w:eastAsia="zh-CN"/>
              </w:rPr>
              <w:t>杨烨、熊俊</w:t>
            </w:r>
          </w:p>
        </w:tc>
        <w:tc>
          <w:tcPr>
            <w:tcW w:w="523" w:type="dxa"/>
            <w:tcBorders>
              <w:top w:val="single" w:color="auto" w:sz="4" w:space="0"/>
              <w:left w:val="single" w:color="auto" w:sz="4" w:space="0"/>
              <w:bottom w:val="single" w:color="auto" w:sz="4" w:space="0"/>
              <w:right w:val="single" w:color="auto" w:sz="4" w:space="0"/>
            </w:tcBorders>
            <w:vAlign w:val="center"/>
          </w:tcPr>
          <w:p w14:paraId="7EBD7864">
            <w:pPr>
              <w:jc w:val="center"/>
              <w:rPr>
                <w:b/>
                <w:color w:val="000000"/>
                <w:kern w:val="0"/>
                <w:sz w:val="24"/>
              </w:rPr>
            </w:pPr>
            <w:r>
              <w:rPr>
                <w:rFonts w:hint="eastAsia"/>
                <w:b/>
                <w:color w:val="000000"/>
                <w:kern w:val="0"/>
                <w:sz w:val="24"/>
              </w:rPr>
              <w:t>时间</w:t>
            </w:r>
          </w:p>
        </w:tc>
        <w:tc>
          <w:tcPr>
            <w:tcW w:w="2357" w:type="dxa"/>
            <w:tcBorders>
              <w:top w:val="single" w:color="auto" w:sz="4" w:space="0"/>
              <w:left w:val="single" w:color="auto" w:sz="4" w:space="0"/>
              <w:bottom w:val="single" w:color="auto" w:sz="4" w:space="0"/>
              <w:right w:val="single" w:color="auto" w:sz="4" w:space="0"/>
            </w:tcBorders>
            <w:vAlign w:val="center"/>
          </w:tcPr>
          <w:p w14:paraId="2305CADF">
            <w:pPr>
              <w:jc w:val="center"/>
              <w:rPr>
                <w:rFonts w:ascii="宋体" w:hAnsi="宋体"/>
                <w:sz w:val="24"/>
              </w:rPr>
            </w:pPr>
            <w:r>
              <w:rPr>
                <w:rFonts w:hint="eastAsia" w:ascii="宋体" w:hAnsi="宋体"/>
                <w:sz w:val="24"/>
              </w:rPr>
              <w:t>20</w:t>
            </w:r>
            <w:r>
              <w:rPr>
                <w:rFonts w:hint="eastAsia" w:ascii="宋体" w:hAnsi="宋体"/>
                <w:sz w:val="24"/>
                <w:lang w:val="en-US" w:eastAsia="zh-CN"/>
              </w:rPr>
              <w:t>24</w:t>
            </w:r>
            <w:r>
              <w:rPr>
                <w:rFonts w:hint="eastAsia" w:ascii="宋体" w:hAnsi="宋体"/>
                <w:sz w:val="24"/>
              </w:rPr>
              <w:t>年</w:t>
            </w:r>
            <w:r>
              <w:rPr>
                <w:rFonts w:hint="eastAsia" w:ascii="宋体" w:hAnsi="宋体"/>
                <w:sz w:val="24"/>
                <w:lang w:val="en-US" w:eastAsia="zh-CN"/>
              </w:rPr>
              <w:t>04</w:t>
            </w:r>
            <w:r>
              <w:rPr>
                <w:rFonts w:hint="eastAsia" w:ascii="宋体" w:hAnsi="宋体"/>
                <w:sz w:val="24"/>
              </w:rPr>
              <w:t>月</w:t>
            </w:r>
            <w:r>
              <w:rPr>
                <w:rFonts w:hint="eastAsia" w:ascii="宋体" w:hAnsi="宋体"/>
                <w:sz w:val="24"/>
                <w:lang w:val="en-US" w:eastAsia="zh-CN"/>
              </w:rPr>
              <w:t>13</w:t>
            </w:r>
            <w:r>
              <w:rPr>
                <w:rFonts w:hint="eastAsia" w:ascii="宋体" w:hAnsi="宋体"/>
                <w:sz w:val="24"/>
              </w:rPr>
              <w:t>日</w:t>
            </w:r>
          </w:p>
        </w:tc>
        <w:tc>
          <w:tcPr>
            <w:tcW w:w="1260" w:type="dxa"/>
            <w:gridSpan w:val="2"/>
            <w:tcBorders>
              <w:top w:val="single" w:color="auto" w:sz="4" w:space="0"/>
              <w:left w:val="single" w:color="auto" w:sz="4" w:space="0"/>
              <w:bottom w:val="single" w:color="auto" w:sz="4" w:space="0"/>
              <w:right w:val="single" w:color="auto" w:sz="4" w:space="0"/>
            </w:tcBorders>
            <w:vAlign w:val="center"/>
          </w:tcPr>
          <w:p w14:paraId="345F2848">
            <w:pPr>
              <w:jc w:val="center"/>
              <w:rPr>
                <w:b/>
                <w:color w:val="000000"/>
                <w:kern w:val="0"/>
                <w:sz w:val="24"/>
              </w:rPr>
            </w:pPr>
            <w:r>
              <w:rPr>
                <w:rFonts w:hint="eastAsia"/>
                <w:b/>
                <w:color w:val="000000"/>
                <w:kern w:val="0"/>
                <w:sz w:val="24"/>
              </w:rPr>
              <w:t>建设单位陪同人</w:t>
            </w:r>
          </w:p>
        </w:tc>
        <w:tc>
          <w:tcPr>
            <w:tcW w:w="1080" w:type="dxa"/>
            <w:gridSpan w:val="2"/>
            <w:tcBorders>
              <w:top w:val="single" w:color="auto" w:sz="4" w:space="0"/>
              <w:left w:val="single" w:color="auto" w:sz="4" w:space="0"/>
              <w:bottom w:val="single" w:color="auto" w:sz="4" w:space="0"/>
              <w:right w:val="single" w:color="auto" w:sz="4" w:space="0"/>
            </w:tcBorders>
            <w:vAlign w:val="center"/>
          </w:tcPr>
          <w:p w14:paraId="04EB2F29">
            <w:pPr>
              <w:jc w:val="center"/>
              <w:rPr>
                <w:rFonts w:hint="eastAsia" w:ascii="宋体" w:hAnsi="宋体" w:eastAsia="宋体"/>
                <w:sz w:val="24"/>
                <w:lang w:eastAsia="zh-CN"/>
              </w:rPr>
            </w:pPr>
            <w:r>
              <w:rPr>
                <w:rFonts w:hint="eastAsia" w:ascii="宋体" w:hAnsi="宋体"/>
                <w:sz w:val="24"/>
                <w:lang w:eastAsia="zh-CN"/>
              </w:rPr>
              <w:t>邓坤</w:t>
            </w:r>
          </w:p>
        </w:tc>
      </w:tr>
      <w:tr w14:paraId="7ECEAE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trPr>
        <w:tc>
          <w:tcPr>
            <w:tcW w:w="1440" w:type="dxa"/>
            <w:tcBorders>
              <w:top w:val="single" w:color="auto" w:sz="4" w:space="0"/>
              <w:left w:val="single" w:color="auto" w:sz="4" w:space="0"/>
              <w:bottom w:val="single" w:color="auto" w:sz="4" w:space="0"/>
              <w:right w:val="single" w:color="auto" w:sz="4" w:space="0"/>
            </w:tcBorders>
            <w:vAlign w:val="center"/>
          </w:tcPr>
          <w:p w14:paraId="5502BBC7">
            <w:pPr>
              <w:jc w:val="center"/>
              <w:rPr>
                <w:b/>
                <w:kern w:val="0"/>
                <w:sz w:val="24"/>
              </w:rPr>
            </w:pPr>
            <w:r>
              <w:rPr>
                <w:rFonts w:hint="eastAsia"/>
                <w:b/>
                <w:color w:val="333333"/>
                <w:kern w:val="0"/>
                <w:sz w:val="24"/>
              </w:rPr>
              <w:t>现场</w:t>
            </w:r>
            <w:r>
              <w:rPr>
                <w:rFonts w:hint="eastAsia"/>
                <w:b/>
                <w:kern w:val="0"/>
                <w:sz w:val="24"/>
              </w:rPr>
              <w:t>采样、检测人员</w:t>
            </w:r>
          </w:p>
        </w:tc>
        <w:tc>
          <w:tcPr>
            <w:tcW w:w="2520" w:type="dxa"/>
            <w:gridSpan w:val="2"/>
            <w:tcBorders>
              <w:top w:val="single" w:color="auto" w:sz="4" w:space="0"/>
              <w:left w:val="single" w:color="auto" w:sz="4" w:space="0"/>
              <w:bottom w:val="single" w:color="auto" w:sz="4" w:space="0"/>
              <w:right w:val="single" w:color="auto" w:sz="4" w:space="0"/>
            </w:tcBorders>
            <w:vAlign w:val="center"/>
          </w:tcPr>
          <w:p w14:paraId="2F1DFDA2">
            <w:pPr>
              <w:jc w:val="center"/>
              <w:rPr>
                <w:rFonts w:ascii="宋体" w:hAnsi="宋体"/>
                <w:sz w:val="24"/>
              </w:rPr>
            </w:pPr>
            <w:r>
              <w:rPr>
                <w:rFonts w:hint="eastAsia" w:ascii="宋体" w:hAnsi="宋体"/>
                <w:sz w:val="24"/>
              </w:rPr>
              <w:t>/</w:t>
            </w:r>
          </w:p>
        </w:tc>
        <w:tc>
          <w:tcPr>
            <w:tcW w:w="523" w:type="dxa"/>
            <w:tcBorders>
              <w:top w:val="single" w:color="auto" w:sz="4" w:space="0"/>
              <w:left w:val="single" w:color="auto" w:sz="4" w:space="0"/>
              <w:bottom w:val="single" w:color="auto" w:sz="4" w:space="0"/>
              <w:right w:val="single" w:color="auto" w:sz="4" w:space="0"/>
            </w:tcBorders>
            <w:vAlign w:val="center"/>
          </w:tcPr>
          <w:p w14:paraId="262424E4">
            <w:pPr>
              <w:jc w:val="center"/>
              <w:rPr>
                <w:b/>
                <w:color w:val="000000"/>
                <w:kern w:val="0"/>
                <w:sz w:val="24"/>
              </w:rPr>
            </w:pPr>
            <w:r>
              <w:rPr>
                <w:rFonts w:hint="eastAsia"/>
                <w:b/>
                <w:color w:val="000000"/>
                <w:kern w:val="0"/>
                <w:sz w:val="24"/>
              </w:rPr>
              <w:t>时间</w:t>
            </w:r>
          </w:p>
        </w:tc>
        <w:tc>
          <w:tcPr>
            <w:tcW w:w="2357" w:type="dxa"/>
            <w:tcBorders>
              <w:top w:val="single" w:color="auto" w:sz="4" w:space="0"/>
              <w:left w:val="single" w:color="auto" w:sz="4" w:space="0"/>
              <w:bottom w:val="single" w:color="auto" w:sz="4" w:space="0"/>
              <w:right w:val="single" w:color="auto" w:sz="4" w:space="0"/>
            </w:tcBorders>
            <w:vAlign w:val="center"/>
          </w:tcPr>
          <w:p w14:paraId="072EDEA7">
            <w:pPr>
              <w:jc w:val="center"/>
              <w:rPr>
                <w:rFonts w:ascii="宋体" w:hAnsi="宋体"/>
                <w:sz w:val="24"/>
              </w:rPr>
            </w:pPr>
            <w:r>
              <w:rPr>
                <w:rFonts w:hint="eastAsia" w:ascii="宋体" w:hAnsi="宋体"/>
                <w:sz w:val="24"/>
              </w:rPr>
              <w:t>/</w:t>
            </w:r>
          </w:p>
        </w:tc>
        <w:tc>
          <w:tcPr>
            <w:tcW w:w="1260" w:type="dxa"/>
            <w:gridSpan w:val="2"/>
            <w:tcBorders>
              <w:top w:val="single" w:color="auto" w:sz="4" w:space="0"/>
              <w:left w:val="single" w:color="auto" w:sz="4" w:space="0"/>
              <w:bottom w:val="single" w:color="auto" w:sz="4" w:space="0"/>
              <w:right w:val="single" w:color="auto" w:sz="4" w:space="0"/>
            </w:tcBorders>
            <w:vAlign w:val="center"/>
          </w:tcPr>
          <w:p w14:paraId="6C1ADAC4">
            <w:pPr>
              <w:jc w:val="center"/>
              <w:rPr>
                <w:b/>
                <w:color w:val="000000"/>
                <w:kern w:val="0"/>
                <w:sz w:val="24"/>
              </w:rPr>
            </w:pPr>
            <w:r>
              <w:rPr>
                <w:rFonts w:hint="eastAsia"/>
                <w:b/>
                <w:color w:val="000000"/>
                <w:kern w:val="0"/>
                <w:sz w:val="24"/>
              </w:rPr>
              <w:t>建设单位陪同人</w:t>
            </w:r>
          </w:p>
        </w:tc>
        <w:tc>
          <w:tcPr>
            <w:tcW w:w="1080" w:type="dxa"/>
            <w:gridSpan w:val="2"/>
            <w:tcBorders>
              <w:top w:val="single" w:color="auto" w:sz="4" w:space="0"/>
              <w:left w:val="single" w:color="auto" w:sz="4" w:space="0"/>
              <w:bottom w:val="single" w:color="auto" w:sz="4" w:space="0"/>
              <w:right w:val="single" w:color="auto" w:sz="4" w:space="0"/>
            </w:tcBorders>
            <w:vAlign w:val="center"/>
          </w:tcPr>
          <w:p w14:paraId="2797FFD8">
            <w:pPr>
              <w:jc w:val="center"/>
              <w:rPr>
                <w:rFonts w:ascii="宋体" w:hAnsi="宋体"/>
                <w:sz w:val="24"/>
              </w:rPr>
            </w:pPr>
            <w:r>
              <w:rPr>
                <w:rFonts w:hint="eastAsia" w:ascii="宋体" w:hAnsi="宋体"/>
                <w:sz w:val="24"/>
              </w:rPr>
              <w:t>/</w:t>
            </w:r>
          </w:p>
        </w:tc>
      </w:tr>
      <w:tr w14:paraId="709780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4" w:hRule="atLeast"/>
        </w:trPr>
        <w:tc>
          <w:tcPr>
            <w:tcW w:w="1440" w:type="dxa"/>
            <w:tcBorders>
              <w:top w:val="single" w:color="auto" w:sz="4" w:space="0"/>
              <w:left w:val="single" w:color="auto" w:sz="4" w:space="0"/>
              <w:bottom w:val="single" w:color="auto" w:sz="4" w:space="0"/>
              <w:right w:val="single" w:color="auto" w:sz="4" w:space="0"/>
            </w:tcBorders>
            <w:vAlign w:val="center"/>
          </w:tcPr>
          <w:p w14:paraId="4DF97A2E">
            <w:pPr>
              <w:jc w:val="center"/>
              <w:rPr>
                <w:b/>
                <w:kern w:val="0"/>
                <w:sz w:val="24"/>
              </w:rPr>
            </w:pPr>
            <w:r>
              <w:rPr>
                <w:rFonts w:hint="eastAsia"/>
                <w:b/>
                <w:kern w:val="0"/>
                <w:sz w:val="24"/>
              </w:rPr>
              <w:t>建设项目存在的职业病危害因素及检测结果</w:t>
            </w:r>
          </w:p>
        </w:tc>
        <w:tc>
          <w:tcPr>
            <w:tcW w:w="7740" w:type="dxa"/>
            <w:gridSpan w:val="8"/>
            <w:tcBorders>
              <w:top w:val="single" w:color="auto" w:sz="4" w:space="0"/>
              <w:left w:val="single" w:color="auto" w:sz="4" w:space="0"/>
              <w:bottom w:val="single" w:color="auto" w:sz="4" w:space="0"/>
              <w:right w:val="single" w:color="auto" w:sz="4" w:space="0"/>
            </w:tcBorders>
            <w:vAlign w:val="center"/>
          </w:tcPr>
          <w:p w14:paraId="33A0FEAB">
            <w:pPr>
              <w:pStyle w:val="14"/>
              <w:adjustRightInd w:val="0"/>
              <w:snapToGrid w:val="0"/>
              <w:spacing w:line="490" w:lineRule="exact"/>
              <w:ind w:firstLine="480"/>
              <w:rPr>
                <w:rFonts w:ascii="Times New Roman" w:hAnsi="Times New Roman"/>
                <w:bCs/>
                <w:kern w:val="28"/>
                <w:szCs w:val="28"/>
              </w:rPr>
            </w:pPr>
            <w:r>
              <w:rPr>
                <w:rFonts w:hint="eastAsia" w:ascii="宋体" w:hAnsi="宋体" w:eastAsia="宋体"/>
                <w:kern w:val="2"/>
                <w:sz w:val="24"/>
                <w:szCs w:val="24"/>
              </w:rPr>
              <w:t>拟建</w:t>
            </w:r>
            <w:r>
              <w:rPr>
                <w:rFonts w:ascii="宋体" w:hAnsi="宋体" w:eastAsia="宋体"/>
                <w:kern w:val="2"/>
                <w:sz w:val="24"/>
                <w:szCs w:val="24"/>
              </w:rPr>
              <w:t>项目建成后运行过程中可能产生或存在的</w:t>
            </w:r>
            <w:r>
              <w:rPr>
                <w:rFonts w:hint="eastAsia" w:ascii="宋体" w:hAnsi="宋体" w:eastAsia="宋体"/>
                <w:kern w:val="2"/>
                <w:sz w:val="24"/>
                <w:szCs w:val="24"/>
              </w:rPr>
              <w:t>主要</w:t>
            </w:r>
            <w:r>
              <w:rPr>
                <w:rFonts w:ascii="宋体" w:hAnsi="宋体" w:eastAsia="宋体"/>
                <w:kern w:val="2"/>
                <w:sz w:val="24"/>
                <w:szCs w:val="24"/>
              </w:rPr>
              <w:t>职业病危害因素有：</w:t>
            </w:r>
            <w:r>
              <w:rPr>
                <w:rFonts w:hint="eastAsia" w:ascii="宋体" w:hAnsi="宋体" w:eastAsia="宋体"/>
                <w:kern w:val="2"/>
                <w:sz w:val="24"/>
                <w:szCs w:val="24"/>
                <w:lang w:eastAsia="zh-CN"/>
              </w:rPr>
              <w:t>石膏粉尘（硫酸钙）、高温、噪声</w:t>
            </w:r>
            <w:r>
              <w:rPr>
                <w:rFonts w:hint="eastAsia" w:ascii="宋体" w:hAnsi="宋体" w:eastAsia="宋体"/>
                <w:kern w:val="2"/>
                <w:sz w:val="24"/>
                <w:szCs w:val="24"/>
              </w:rPr>
              <w:t>。</w:t>
            </w:r>
            <w:r>
              <w:rPr>
                <w:rFonts w:ascii="宋体" w:hAnsi="宋体" w:eastAsia="宋体"/>
                <w:kern w:val="2"/>
                <w:sz w:val="24"/>
                <w:szCs w:val="24"/>
              </w:rPr>
              <w:t>根据</w:t>
            </w:r>
            <w:r>
              <w:rPr>
                <w:rFonts w:hint="eastAsia" w:ascii="宋体" w:hAnsi="宋体" w:eastAsia="宋体"/>
                <w:kern w:val="2"/>
                <w:sz w:val="24"/>
                <w:szCs w:val="24"/>
                <w:lang w:eastAsia="zh-CN"/>
              </w:rPr>
              <w:t>风险评估法</w:t>
            </w:r>
            <w:r>
              <w:rPr>
                <w:rFonts w:hint="eastAsia" w:ascii="宋体" w:hAnsi="宋体" w:eastAsia="宋体"/>
                <w:kern w:val="2"/>
                <w:sz w:val="24"/>
                <w:szCs w:val="24"/>
              </w:rPr>
              <w:t>及经验法</w:t>
            </w:r>
            <w:r>
              <w:rPr>
                <w:rFonts w:ascii="宋体" w:hAnsi="宋体" w:eastAsia="宋体"/>
                <w:kern w:val="2"/>
                <w:sz w:val="24"/>
                <w:szCs w:val="24"/>
              </w:rPr>
              <w:t>可知，</w:t>
            </w:r>
            <w:r>
              <w:rPr>
                <w:rFonts w:hint="eastAsia" w:ascii="宋体" w:hAnsi="宋体" w:eastAsia="宋体"/>
                <w:kern w:val="2"/>
                <w:sz w:val="24"/>
                <w:szCs w:val="24"/>
              </w:rPr>
              <w:t>各岗位接触的职业病危害因素危害程度基本可以得到有效控制</w:t>
            </w:r>
            <w:r>
              <w:rPr>
                <w:rFonts w:ascii="宋体" w:hAnsi="宋体" w:eastAsia="宋体"/>
                <w:kern w:val="2"/>
                <w:sz w:val="24"/>
                <w:szCs w:val="24"/>
              </w:rPr>
              <w:t>。</w:t>
            </w:r>
          </w:p>
        </w:tc>
      </w:tr>
      <w:tr w14:paraId="472F5E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1" w:hRule="atLeast"/>
        </w:trPr>
        <w:tc>
          <w:tcPr>
            <w:tcW w:w="1440" w:type="dxa"/>
            <w:tcBorders>
              <w:top w:val="single" w:color="auto" w:sz="4" w:space="0"/>
              <w:left w:val="single" w:color="auto" w:sz="4" w:space="0"/>
              <w:bottom w:val="single" w:color="auto" w:sz="4" w:space="0"/>
              <w:right w:val="single" w:color="auto" w:sz="4" w:space="0"/>
            </w:tcBorders>
            <w:vAlign w:val="center"/>
          </w:tcPr>
          <w:p w14:paraId="39C1960D">
            <w:pPr>
              <w:jc w:val="center"/>
              <w:rPr>
                <w:b/>
                <w:kern w:val="0"/>
                <w:sz w:val="24"/>
              </w:rPr>
            </w:pPr>
            <w:r>
              <w:rPr>
                <w:rFonts w:hint="eastAsia"/>
                <w:b/>
                <w:kern w:val="0"/>
                <w:sz w:val="24"/>
              </w:rPr>
              <w:t>评价结论及建议</w:t>
            </w:r>
          </w:p>
        </w:tc>
        <w:tc>
          <w:tcPr>
            <w:tcW w:w="7740" w:type="dxa"/>
            <w:gridSpan w:val="8"/>
            <w:tcBorders>
              <w:top w:val="single" w:color="auto" w:sz="4" w:space="0"/>
              <w:left w:val="single" w:color="auto" w:sz="4" w:space="0"/>
              <w:bottom w:val="single" w:color="auto" w:sz="4" w:space="0"/>
              <w:right w:val="single" w:color="auto" w:sz="4" w:space="0"/>
            </w:tcBorders>
            <w:vAlign w:val="center"/>
          </w:tcPr>
          <w:p w14:paraId="3DFB69F6">
            <w:pPr>
              <w:pStyle w:val="14"/>
              <w:adjustRightInd w:val="0"/>
              <w:snapToGrid w:val="0"/>
              <w:spacing w:line="490" w:lineRule="exact"/>
              <w:ind w:firstLine="480"/>
              <w:rPr>
                <w:rFonts w:hint="eastAsia" w:ascii="宋体" w:hAnsi="宋体" w:eastAsia="宋体"/>
                <w:kern w:val="2"/>
                <w:sz w:val="24"/>
                <w:szCs w:val="24"/>
              </w:rPr>
            </w:pPr>
            <w:r>
              <w:rPr>
                <w:rFonts w:hint="eastAsia" w:ascii="宋体" w:hAnsi="宋体" w:eastAsia="宋体"/>
                <w:kern w:val="2"/>
                <w:sz w:val="24"/>
                <w:szCs w:val="24"/>
              </w:rPr>
              <w:t>本项目属于“C302石膏、水泥制品及类似制品制造”。根据《国家卫生健康委办公厅关于公布建设项目职业病危害风险分类管理目录的通知》，综合拟建项目在投入生产或使用后可能产生的主要职业病危害因素及其来源与分布、可能对人体健康产生的影响及导致的职业病等，确定本项目为“职业病危害严重的建设项目”。</w:t>
            </w:r>
          </w:p>
          <w:p w14:paraId="3850987C">
            <w:pPr>
              <w:pStyle w:val="14"/>
              <w:adjustRightInd w:val="0"/>
              <w:snapToGrid w:val="0"/>
              <w:spacing w:line="490" w:lineRule="exact"/>
              <w:ind w:firstLine="480"/>
              <w:rPr>
                <w:rFonts w:ascii="宋体" w:hAnsi="宋体" w:eastAsia="宋体"/>
                <w:kern w:val="2"/>
                <w:sz w:val="24"/>
                <w:szCs w:val="24"/>
              </w:rPr>
            </w:pPr>
            <w:r>
              <w:rPr>
                <w:rFonts w:ascii="宋体" w:hAnsi="宋体" w:eastAsia="宋体"/>
                <w:kern w:val="2"/>
                <w:sz w:val="24"/>
                <w:szCs w:val="24"/>
              </w:rPr>
              <w:t>通过工程分析、类比</w:t>
            </w:r>
            <w:r>
              <w:rPr>
                <w:rFonts w:hint="eastAsia" w:ascii="宋体" w:hAnsi="宋体" w:eastAsia="宋体"/>
                <w:kern w:val="2"/>
                <w:sz w:val="24"/>
                <w:szCs w:val="24"/>
              </w:rPr>
              <w:t>分析</w:t>
            </w:r>
            <w:r>
              <w:rPr>
                <w:rFonts w:ascii="宋体" w:hAnsi="宋体" w:eastAsia="宋体"/>
                <w:kern w:val="2"/>
                <w:sz w:val="24"/>
                <w:szCs w:val="24"/>
              </w:rPr>
              <w:t>及对</w:t>
            </w:r>
            <w:r>
              <w:rPr>
                <w:rFonts w:hint="eastAsia" w:ascii="宋体" w:hAnsi="宋体" w:eastAsia="宋体"/>
                <w:kern w:val="2"/>
                <w:sz w:val="24"/>
                <w:szCs w:val="24"/>
              </w:rPr>
              <w:t>拟建</w:t>
            </w:r>
            <w:r>
              <w:rPr>
                <w:rFonts w:ascii="宋体" w:hAnsi="宋体" w:eastAsia="宋体"/>
                <w:kern w:val="2"/>
                <w:sz w:val="24"/>
                <w:szCs w:val="24"/>
              </w:rPr>
              <w:t>项目职业病危害因素的综合分析与评价，确定</w:t>
            </w:r>
            <w:r>
              <w:rPr>
                <w:rFonts w:hint="eastAsia" w:ascii="宋体" w:hAnsi="宋体" w:eastAsia="宋体"/>
                <w:kern w:val="2"/>
                <w:sz w:val="24"/>
                <w:szCs w:val="24"/>
              </w:rPr>
              <w:t>该</w:t>
            </w:r>
            <w:r>
              <w:rPr>
                <w:rFonts w:ascii="宋体" w:hAnsi="宋体" w:eastAsia="宋体"/>
                <w:kern w:val="2"/>
                <w:sz w:val="24"/>
                <w:szCs w:val="24"/>
              </w:rPr>
              <w:t>拟建项目在采取了本报告所提防护措施后，各主要接触职业病危害作业岗位的职业病危害因素预期浓度（强度）范围和接触水平能满足国家和地方对职业病防治方面法律、法规、标准的要求</w:t>
            </w:r>
            <w:r>
              <w:rPr>
                <w:rFonts w:hint="eastAsia" w:ascii="宋体" w:hAnsi="宋体" w:eastAsia="宋体"/>
                <w:kern w:val="2"/>
                <w:sz w:val="24"/>
                <w:szCs w:val="24"/>
              </w:rPr>
              <w:t>。</w:t>
            </w:r>
          </w:p>
        </w:tc>
      </w:tr>
      <w:tr w14:paraId="6CF1AF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8" w:hRule="atLeast"/>
        </w:trPr>
        <w:tc>
          <w:tcPr>
            <w:tcW w:w="1440" w:type="dxa"/>
            <w:tcBorders>
              <w:top w:val="single" w:color="auto" w:sz="4" w:space="0"/>
              <w:left w:val="single" w:color="auto" w:sz="4" w:space="0"/>
              <w:bottom w:val="single" w:color="auto" w:sz="4" w:space="0"/>
              <w:right w:val="single" w:color="auto" w:sz="4" w:space="0"/>
            </w:tcBorders>
            <w:vAlign w:val="center"/>
          </w:tcPr>
          <w:p w14:paraId="479ED128">
            <w:pPr>
              <w:jc w:val="center"/>
              <w:rPr>
                <w:b/>
                <w:kern w:val="0"/>
                <w:sz w:val="24"/>
              </w:rPr>
            </w:pPr>
            <w:r>
              <w:rPr>
                <w:rFonts w:hint="eastAsia"/>
                <w:b/>
                <w:kern w:val="0"/>
                <w:sz w:val="24"/>
              </w:rPr>
              <w:t>技术审查专家组</w:t>
            </w:r>
          </w:p>
          <w:p w14:paraId="45767338">
            <w:pPr>
              <w:jc w:val="center"/>
              <w:rPr>
                <w:b/>
                <w:kern w:val="0"/>
                <w:sz w:val="24"/>
              </w:rPr>
            </w:pPr>
            <w:r>
              <w:rPr>
                <w:rFonts w:hint="eastAsia"/>
                <w:b/>
                <w:kern w:val="0"/>
                <w:sz w:val="24"/>
              </w:rPr>
              <w:t>评审意见</w:t>
            </w:r>
          </w:p>
        </w:tc>
        <w:tc>
          <w:tcPr>
            <w:tcW w:w="7740" w:type="dxa"/>
            <w:gridSpan w:val="8"/>
            <w:tcBorders>
              <w:top w:val="single" w:color="auto" w:sz="4" w:space="0"/>
              <w:left w:val="single" w:color="auto" w:sz="4" w:space="0"/>
              <w:bottom w:val="single" w:color="auto" w:sz="4" w:space="0"/>
              <w:right w:val="single" w:color="auto" w:sz="4" w:space="0"/>
            </w:tcBorders>
            <w:vAlign w:val="center"/>
          </w:tcPr>
          <w:p w14:paraId="29587D12">
            <w:pPr>
              <w:rPr>
                <w:color w:val="000000"/>
                <w:kern w:val="0"/>
                <w:sz w:val="24"/>
              </w:rPr>
            </w:pPr>
            <w:r>
              <w:rPr>
                <w:rFonts w:hint="eastAsia" w:ascii="宋体" w:hAnsi="宋体"/>
                <w:sz w:val="24"/>
              </w:rPr>
              <w:t>对存在问题修改完善后经专家组确认后，建议《评价报告》通过评审。</w:t>
            </w:r>
          </w:p>
        </w:tc>
      </w:tr>
    </w:tbl>
    <w:p w14:paraId="69410790">
      <w:pPr>
        <w:rPr>
          <w:rFonts w:hint="default" w:eastAsia="宋体"/>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3"/>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panose1 w:val="02010609030101010101"/>
    <w:charset w:val="86"/>
    <w:family w:val="moder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ZmYyYjYzMGI2MGVhOWNlMjk3YTJhNDgzZWI5M2Y2NDgifQ=="/>
  </w:docVars>
  <w:rsids>
    <w:rsidRoot w:val="003B3E4B"/>
    <w:rsid w:val="000C0C54"/>
    <w:rsid w:val="001B4C6E"/>
    <w:rsid w:val="002137CE"/>
    <w:rsid w:val="00267723"/>
    <w:rsid w:val="002D6359"/>
    <w:rsid w:val="0036720B"/>
    <w:rsid w:val="003B3E4B"/>
    <w:rsid w:val="003C6F2B"/>
    <w:rsid w:val="00481067"/>
    <w:rsid w:val="004B1BB3"/>
    <w:rsid w:val="006324CB"/>
    <w:rsid w:val="00785F19"/>
    <w:rsid w:val="007E0A4D"/>
    <w:rsid w:val="00804B0A"/>
    <w:rsid w:val="008C17E3"/>
    <w:rsid w:val="008E04ED"/>
    <w:rsid w:val="00931E49"/>
    <w:rsid w:val="00A31BE6"/>
    <w:rsid w:val="00D95001"/>
    <w:rsid w:val="00E74D08"/>
    <w:rsid w:val="00F6182C"/>
    <w:rsid w:val="02EF291D"/>
    <w:rsid w:val="07317033"/>
    <w:rsid w:val="07DC3E9A"/>
    <w:rsid w:val="0D9655E6"/>
    <w:rsid w:val="10497F5C"/>
    <w:rsid w:val="13674336"/>
    <w:rsid w:val="1B0A1D05"/>
    <w:rsid w:val="209549B2"/>
    <w:rsid w:val="21913761"/>
    <w:rsid w:val="22047891"/>
    <w:rsid w:val="2288631C"/>
    <w:rsid w:val="29135144"/>
    <w:rsid w:val="2A454DC8"/>
    <w:rsid w:val="2C415F37"/>
    <w:rsid w:val="2E103562"/>
    <w:rsid w:val="2FFF0983"/>
    <w:rsid w:val="4A973AA3"/>
    <w:rsid w:val="4B665A18"/>
    <w:rsid w:val="55AF53C9"/>
    <w:rsid w:val="61F666AD"/>
    <w:rsid w:val="643031FF"/>
    <w:rsid w:val="65641D69"/>
    <w:rsid w:val="6D1D15AD"/>
    <w:rsid w:val="6E0E3D6F"/>
    <w:rsid w:val="73FC784B"/>
    <w:rsid w:val="75936216"/>
    <w:rsid w:val="75E33EDA"/>
    <w:rsid w:val="7700476F"/>
    <w:rsid w:val="7788146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nhideWhenUsed="0" w:uiPriority="0" w:semiHidden="0"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qFormat/>
    <w:uiPriority w:val="0"/>
    <w:pPr>
      <w:jc w:val="left"/>
    </w:pPr>
    <w:rPr>
      <w:kern w:val="0"/>
      <w:sz w:val="20"/>
    </w:rPr>
  </w:style>
  <w:style w:type="paragraph" w:styleId="3">
    <w:name w:val="Body Text"/>
    <w:basedOn w:val="1"/>
    <w:qFormat/>
    <w:uiPriority w:val="0"/>
    <w:pPr>
      <w:tabs>
        <w:tab w:val="left" w:pos="4344"/>
      </w:tabs>
      <w:autoSpaceDE w:val="0"/>
      <w:autoSpaceDN w:val="0"/>
      <w:adjustRightInd w:val="0"/>
      <w:spacing w:line="457" w:lineRule="exact"/>
      <w:ind w:firstLine="569" w:firstLineChars="200"/>
      <w:jc w:val="left"/>
    </w:pPr>
    <w:rPr>
      <w:rFonts w:ascii="仿宋_GB2312" w:hAnsi="仿宋_GB2312" w:eastAsia="仿宋_GB2312"/>
      <w:color w:val="000000"/>
      <w:w w:val="102"/>
      <w:kern w:val="0"/>
      <w:sz w:val="28"/>
      <w:szCs w:val="28"/>
      <w:lang w:val="zh-CN"/>
    </w:rPr>
  </w:style>
  <w:style w:type="paragraph" w:styleId="4">
    <w:name w:val="footer"/>
    <w:basedOn w:val="1"/>
    <w:link w:val="9"/>
    <w:semiHidden/>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5">
    <w:name w:val="header"/>
    <w:basedOn w:val="1"/>
    <w:link w:val="8"/>
    <w:semiHidden/>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character" w:customStyle="1" w:styleId="8">
    <w:name w:val="页眉 Char"/>
    <w:basedOn w:val="7"/>
    <w:link w:val="5"/>
    <w:semiHidden/>
    <w:qFormat/>
    <w:uiPriority w:val="99"/>
    <w:rPr>
      <w:sz w:val="18"/>
      <w:szCs w:val="18"/>
    </w:rPr>
  </w:style>
  <w:style w:type="character" w:customStyle="1" w:styleId="9">
    <w:name w:val="页脚 Char"/>
    <w:basedOn w:val="7"/>
    <w:link w:val="4"/>
    <w:semiHidden/>
    <w:qFormat/>
    <w:uiPriority w:val="99"/>
    <w:rPr>
      <w:sz w:val="18"/>
      <w:szCs w:val="18"/>
    </w:rPr>
  </w:style>
  <w:style w:type="paragraph" w:customStyle="1" w:styleId="10">
    <w:name w:val="样式 宋体 四号 黑色 行距: 1.5 倍行距"/>
    <w:basedOn w:val="1"/>
    <w:qFormat/>
    <w:uiPriority w:val="0"/>
    <w:pPr>
      <w:spacing w:line="360" w:lineRule="auto"/>
      <w:ind w:firstLine="560" w:firstLineChars="200"/>
      <w:jc w:val="left"/>
    </w:pPr>
    <w:rPr>
      <w:rFonts w:ascii="宋体" w:hAnsi="宋体" w:cs="宋体"/>
      <w:sz w:val="28"/>
      <w:szCs w:val="28"/>
    </w:rPr>
  </w:style>
  <w:style w:type="paragraph" w:customStyle="1" w:styleId="11">
    <w:name w:val="ZH正文"/>
    <w:basedOn w:val="1"/>
    <w:qFormat/>
    <w:uiPriority w:val="0"/>
    <w:pPr>
      <w:spacing w:line="360" w:lineRule="auto"/>
      <w:ind w:firstLine="200" w:firstLineChars="200"/>
    </w:pPr>
    <w:rPr>
      <w:sz w:val="24"/>
    </w:rPr>
  </w:style>
  <w:style w:type="character" w:customStyle="1" w:styleId="12">
    <w:name w:val="YYC Char"/>
    <w:basedOn w:val="7"/>
    <w:link w:val="13"/>
    <w:qFormat/>
    <w:uiPriority w:val="0"/>
    <w:rPr>
      <w:rFonts w:ascii="仿宋_GB2312" w:eastAsia="仿宋_GB2312" w:cs="宋体"/>
      <w:color w:val="000000"/>
      <w:sz w:val="28"/>
    </w:rPr>
  </w:style>
  <w:style w:type="paragraph" w:customStyle="1" w:styleId="13">
    <w:name w:val="YYC"/>
    <w:basedOn w:val="1"/>
    <w:link w:val="12"/>
    <w:qFormat/>
    <w:uiPriority w:val="0"/>
    <w:pPr>
      <w:spacing w:line="490" w:lineRule="exact"/>
      <w:ind w:firstLine="560" w:firstLineChars="200"/>
    </w:pPr>
    <w:rPr>
      <w:rFonts w:ascii="仿宋_GB2312" w:eastAsia="仿宋_GB2312" w:cs="宋体" w:hAnsiTheme="minorHAnsi"/>
      <w:color w:val="000000"/>
      <w:sz w:val="28"/>
      <w:szCs w:val="22"/>
    </w:rPr>
  </w:style>
  <w:style w:type="paragraph" w:customStyle="1" w:styleId="14">
    <w:name w:val="报告书正文2"/>
    <w:basedOn w:val="1"/>
    <w:qFormat/>
    <w:uiPriority w:val="0"/>
    <w:pPr>
      <w:spacing w:line="460" w:lineRule="exact"/>
      <w:ind w:firstLine="560" w:firstLineChars="200"/>
    </w:pPr>
    <w:rPr>
      <w:rFonts w:ascii="Calibri" w:hAnsi="Calibri" w:eastAsia="仿宋_GB2312"/>
      <w:kern w:val="0"/>
      <w:sz w:val="28"/>
      <w:szCs w:val="20"/>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China</Company>
  <Pages>3</Pages>
  <Words>1709</Words>
  <Characters>1824</Characters>
  <Lines>6</Lines>
  <Paragraphs>1</Paragraphs>
  <TotalTime>2</TotalTime>
  <ScaleCrop>false</ScaleCrop>
  <LinksUpToDate>false</LinksUpToDate>
  <CharactersWithSpaces>1824</CharactersWithSpaces>
  <Application>WPS Office_12.1.0.18276_F1E327BC-269C-435d-A152-05C5408002CA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2018-02-05T07:37:00Z</dcterms:created>
  <dc:creator>User</dc:creator>
  <cp:lastModifiedBy>辰辰妈</cp:lastModifiedBy>
  <dcterms:modified xsi:type="dcterms:W3CDTF">2024-09-27T08:02:49Z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2052-12.1.0.18276</vt:lpwstr>
  </property>
  <property fmtid="{D5CDD505-2E9C-101B-9397-08002B2CF9AE}" pid="3" name="ICV">
    <vt:lpwstr>9C0ED86CEF8747E2A5FF36422AC90245</vt:lpwstr>
  </property>
</Properties>
</file>